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Default="0014246E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требования.</w:t>
      </w:r>
    </w:p>
    <w:p w:rsidR="000A2AD2" w:rsidRDefault="000A2AD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A2AD2" w:rsidRPr="0014246E" w:rsidRDefault="0014246E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14246E">
        <w:rPr>
          <w:rFonts w:eastAsia="Calibri"/>
          <w:b/>
          <w:sz w:val="26"/>
          <w:szCs w:val="26"/>
        </w:rPr>
        <w:t>ОКПД2 -33.12.11.000 Оказание услуг по сервисному обслуживанию установки ПАЭС-2500 МДЭС п.Депутатский Янских ЭС.</w:t>
      </w:r>
    </w:p>
    <w:p w:rsidR="0014246E" w:rsidRDefault="0014246E" w:rsidP="0014246E">
      <w:pPr>
        <w:keepNext/>
        <w:keepLines/>
        <w:jc w:val="center"/>
        <w:rPr>
          <w:b/>
          <w:sz w:val="26"/>
          <w:szCs w:val="26"/>
        </w:rPr>
      </w:pPr>
    </w:p>
    <w:p w:rsidR="000A2AD2" w:rsidRPr="0014246E" w:rsidRDefault="0014246E" w:rsidP="0014246E">
      <w:pPr>
        <w:keepNext/>
        <w:keepLine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№</w:t>
      </w:r>
      <w:r w:rsidRPr="0014246E">
        <w:rPr>
          <w:b/>
          <w:sz w:val="26"/>
          <w:szCs w:val="26"/>
        </w:rPr>
        <w:t>73401-РЕМ ПРОД-2026-СахаЭ</w:t>
      </w:r>
    </w:p>
    <w:p w:rsidR="000A2AD2" w:rsidRDefault="0014246E"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</w:p>
    <w:p w:rsidR="000A2AD2" w:rsidRDefault="0014246E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0A2AD2" w:rsidRDefault="0014246E">
      <w:pPr>
        <w:pStyle w:val="12"/>
        <w:tabs>
          <w:tab w:val="left" w:pos="567"/>
          <w:tab w:val="right" w:leader="dot" w:pos="10053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rPr>
          <w:rStyle w:val="aff2"/>
          <w:rFonts w:cstheme="minorHAnsi"/>
          <w:bCs w:val="0"/>
          <w:iCs/>
          <w:sz w:val="20"/>
          <w:szCs w:val="20"/>
        </w:rPr>
        <w:fldChar w:fldCharType="begin"/>
      </w:r>
      <w:r>
        <w:rPr>
          <w:rStyle w:val="aff2"/>
          <w:rFonts w:cstheme="minorHAnsi"/>
          <w:bCs w:val="0"/>
          <w:iCs/>
          <w:sz w:val="20"/>
          <w:szCs w:val="20"/>
        </w:rPr>
        <w:instrText xml:space="preserve"> TOC \o "1-4" \h \z \u </w:instrText>
      </w:r>
      <w:r>
        <w:rPr>
          <w:rStyle w:val="aff2"/>
          <w:rFonts w:cstheme="minorHAnsi"/>
          <w:bCs w:val="0"/>
          <w:iCs/>
          <w:sz w:val="20"/>
          <w:szCs w:val="20"/>
        </w:rPr>
        <w:fldChar w:fldCharType="separate"/>
      </w:r>
      <w:hyperlink w:anchor="_Toc143591226" w:tooltip="#_Toc143591226" w:history="1">
        <w:r>
          <w:rPr>
            <w:rStyle w:val="aff2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>
          <w:rPr>
            <w:rStyle w:val="aff2"/>
          </w:rPr>
          <w:t>Общие сведения</w:t>
        </w:r>
        <w:r>
          <w:tab/>
        </w:r>
        <w:r>
          <w:fldChar w:fldCharType="begin"/>
        </w:r>
        <w:r>
          <w:instrText xml:space="preserve"> PAGEREF _Toc143591226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0A2AD2" w:rsidRDefault="0014246E">
      <w:pPr>
        <w:pStyle w:val="42"/>
        <w:tabs>
          <w:tab w:val="left" w:pos="1100"/>
          <w:tab w:val="right" w:leader="dot" w:pos="1005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3591227" w:tooltip="#_Toc143591227" w:history="1">
        <w:r>
          <w:rPr>
            <w:rStyle w:val="aff2"/>
            <w:iCs/>
          </w:rPr>
          <w:t>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rStyle w:val="aff2"/>
          </w:rPr>
          <w:t>Обозначения и сокращения</w:t>
        </w:r>
        <w:r>
          <w:tab/>
        </w:r>
        <w:r>
          <w:fldChar w:fldCharType="begin"/>
        </w:r>
        <w:r>
          <w:instrText xml:space="preserve"> PAGEREF _Toc143591227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0A2AD2" w:rsidRDefault="0014246E">
      <w:pPr>
        <w:pStyle w:val="42"/>
        <w:tabs>
          <w:tab w:val="left" w:pos="1100"/>
          <w:tab w:val="right" w:leader="dot" w:pos="1005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3591228" w:tooltip="#_Toc143591228" w:history="1">
        <w:r>
          <w:rPr>
            <w:rStyle w:val="aff2"/>
            <w:iCs/>
          </w:rPr>
          <w:t>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rStyle w:val="aff2"/>
          </w:rPr>
          <w:t>Наименование объекта, место выполнения работ</w:t>
        </w:r>
        <w:r>
          <w:tab/>
        </w:r>
        <w:r>
          <w:fldChar w:fldCharType="begin"/>
        </w:r>
        <w:r>
          <w:instrText xml:space="preserve"> PAGEREF _Toc143591228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0A2AD2" w:rsidRDefault="0014246E">
      <w:pPr>
        <w:pStyle w:val="12"/>
        <w:tabs>
          <w:tab w:val="right" w:leader="dot" w:pos="10053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43591229" w:tooltip="#_Toc143591229" w:history="1">
        <w:r>
          <w:rPr>
            <w:rStyle w:val="aff2"/>
          </w:rPr>
          <w:t>Таблица 1. Перечень Объектов заказчика</w:t>
        </w:r>
        <w:r>
          <w:tab/>
        </w:r>
        <w:r>
          <w:fldChar w:fldCharType="begin"/>
        </w:r>
        <w:r>
          <w:instrText xml:space="preserve"> PAGEREF _Toc143591229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0A2AD2" w:rsidRDefault="0014246E">
      <w:pPr>
        <w:pStyle w:val="12"/>
        <w:tabs>
          <w:tab w:val="left" w:pos="567"/>
          <w:tab w:val="right" w:leader="dot" w:pos="10053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43591230" w:tooltip="#_Toc143591230" w:history="1">
        <w:r>
          <w:rPr>
            <w:rStyle w:val="aff2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>
          <w:rPr>
            <w:rStyle w:val="aff2"/>
            <w:iCs/>
          </w:rPr>
          <w:t>Требования к продукции</w:t>
        </w:r>
        <w:r>
          <w:tab/>
        </w:r>
        <w:r>
          <w:fldChar w:fldCharType="begin"/>
        </w:r>
        <w:r>
          <w:instrText xml:space="preserve"> PAGEREF _Toc143591230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0A2AD2" w:rsidRDefault="0014246E">
      <w:pPr>
        <w:pStyle w:val="42"/>
        <w:tabs>
          <w:tab w:val="left" w:pos="1100"/>
          <w:tab w:val="right" w:leader="dot" w:pos="1005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3591231" w:tooltip="#_Toc143591231" w:history="1">
        <w:r>
          <w:rPr>
            <w:rStyle w:val="aff2"/>
            <w:iCs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rStyle w:val="aff2"/>
          </w:rPr>
          <w:t>Требования к объемам и срок</w:t>
        </w:r>
        <w:r>
          <w:rPr>
            <w:rStyle w:val="aff2"/>
          </w:rPr>
          <w:t>ам оказания услуг</w:t>
        </w:r>
        <w:r>
          <w:tab/>
        </w:r>
        <w:r>
          <w:fldChar w:fldCharType="begin"/>
        </w:r>
        <w:r>
          <w:instrText xml:space="preserve"> PAGEREF _Toc143591231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0A2AD2" w:rsidRDefault="0014246E">
      <w:pPr>
        <w:pStyle w:val="32"/>
        <w:rPr>
          <w:rFonts w:asciiTheme="minorHAnsi" w:eastAsiaTheme="minorEastAsia" w:hAnsiTheme="minorHAnsi" w:cstheme="minorBidi"/>
          <w:sz w:val="22"/>
          <w:szCs w:val="22"/>
        </w:rPr>
      </w:pPr>
      <w:hyperlink w:anchor="_Toc143591232" w:tooltip="#_Toc143591232" w:history="1">
        <w:r>
          <w:rPr>
            <w:rStyle w:val="aff2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rStyle w:val="aff2"/>
          </w:rPr>
          <w:t>Требования к перечню и объему услуг</w:t>
        </w:r>
        <w:r>
          <w:tab/>
        </w:r>
        <w:r>
          <w:fldChar w:fldCharType="begin"/>
        </w:r>
        <w:r>
          <w:instrText xml:space="preserve"> PAGEREF _Toc143591232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0A2AD2" w:rsidRDefault="0014246E">
      <w:pPr>
        <w:pStyle w:val="12"/>
        <w:tabs>
          <w:tab w:val="right" w:leader="dot" w:pos="10053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43591233" w:tooltip="#_Toc143591233" w:history="1">
        <w:r>
          <w:rPr>
            <w:rStyle w:val="aff2"/>
          </w:rPr>
          <w:t>Таблица 2. Перечень и объем оказываемых услуг</w:t>
        </w:r>
        <w:r>
          <w:tab/>
        </w:r>
        <w:r>
          <w:fldChar w:fldCharType="begin"/>
        </w:r>
        <w:r>
          <w:instrText xml:space="preserve"> PAGEREF _Toc143591233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0A2AD2" w:rsidRDefault="0014246E">
      <w:pPr>
        <w:pStyle w:val="32"/>
        <w:rPr>
          <w:rFonts w:asciiTheme="minorHAnsi" w:eastAsiaTheme="minorEastAsia" w:hAnsiTheme="minorHAnsi" w:cstheme="minorBidi"/>
          <w:sz w:val="22"/>
          <w:szCs w:val="22"/>
        </w:rPr>
      </w:pPr>
      <w:hyperlink w:anchor="_Toc143591234" w:tooltip="#_Toc143591234" w:history="1">
        <w:r>
          <w:rPr>
            <w:rStyle w:val="aff2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rStyle w:val="aff2"/>
          </w:rPr>
          <w:t>Требования к срокам выполнения работ и оказания сопутствующих услуг</w:t>
        </w:r>
        <w:r>
          <w:tab/>
        </w:r>
        <w:r>
          <w:fldChar w:fldCharType="begin"/>
        </w:r>
        <w:r>
          <w:instrText xml:space="preserve"> PAGEREF _Toc143591234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0A2AD2" w:rsidRDefault="0014246E">
      <w:pPr>
        <w:pStyle w:val="12"/>
        <w:tabs>
          <w:tab w:val="right" w:leader="dot" w:pos="10053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43591235" w:tooltip="#_Toc143591235" w:history="1">
        <w:r>
          <w:rPr>
            <w:rStyle w:val="aff2"/>
          </w:rPr>
          <w:t>Таблица 2. Требования по срокам выполнения работ</w:t>
        </w:r>
        <w:r>
          <w:tab/>
        </w:r>
        <w:r>
          <w:fldChar w:fldCharType="begin"/>
        </w:r>
        <w:r>
          <w:instrText xml:space="preserve"> PAGEREF _Toc143591235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0A2AD2" w:rsidRDefault="0014246E">
      <w:pPr>
        <w:pStyle w:val="42"/>
        <w:tabs>
          <w:tab w:val="left" w:pos="1100"/>
          <w:tab w:val="right" w:leader="dot" w:pos="10053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3591236" w:tooltip="#_Toc143591236" w:history="1">
        <w:r>
          <w:rPr>
            <w:rStyle w:val="aff2"/>
            <w:iCs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>
          <w:rPr>
            <w:rStyle w:val="aff2"/>
          </w:rPr>
          <w:t>Таблица 4. Требования к качеству услуг</w:t>
        </w:r>
        <w:r>
          <w:tab/>
        </w:r>
        <w:r>
          <w:fldChar w:fldCharType="begin"/>
        </w:r>
        <w:r>
          <w:instrText xml:space="preserve"> PAGEREF _Toc143591236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0A2AD2" w:rsidRDefault="0014246E">
      <w:pPr>
        <w:pStyle w:val="2"/>
        <w:numPr>
          <w:ilvl w:val="0"/>
          <w:numId w:val="0"/>
        </w:numPr>
      </w:pPr>
      <w:r>
        <w:fldChar w:fldCharType="end"/>
      </w:r>
    </w:p>
    <w:p w:rsidR="000A2AD2" w:rsidRDefault="0014246E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</w:p>
    <w:p w:rsidR="000A2AD2" w:rsidRDefault="0014246E">
      <w:pPr>
        <w:pStyle w:val="1"/>
        <w:ind w:left="3969"/>
        <w:rPr>
          <w:caps/>
        </w:rPr>
      </w:pPr>
      <w:bookmarkStart w:id="0" w:name="_Toc51339692"/>
      <w:bookmarkStart w:id="1" w:name="_Toc143591226"/>
      <w:r>
        <w:lastRenderedPageBreak/>
        <w:t>Общие сведения</w:t>
      </w:r>
      <w:bookmarkEnd w:id="0"/>
      <w:bookmarkEnd w:id="1"/>
    </w:p>
    <w:p w:rsidR="000A2AD2" w:rsidRDefault="0014246E">
      <w:pPr>
        <w:pStyle w:val="4"/>
      </w:pPr>
      <w:bookmarkStart w:id="2" w:name="_Toc46743505"/>
      <w:bookmarkStart w:id="3" w:name="_Toc143591227"/>
      <w:r>
        <w:t>Обозначения и сокращения</w:t>
      </w:r>
      <w:bookmarkEnd w:id="2"/>
      <w:bookmarkEnd w:id="3"/>
    </w:p>
    <w:p w:rsidR="000A2AD2" w:rsidRDefault="000A2AD2">
      <w:pPr>
        <w:rPr>
          <w:rStyle w:val="aff7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0A2AD2">
        <w:trPr>
          <w:cantSplit/>
          <w:jc w:val="center"/>
        </w:trPr>
        <w:tc>
          <w:tcPr>
            <w:tcW w:w="1785" w:type="dxa"/>
            <w:shd w:val="clear" w:color="auto" w:fill="auto"/>
          </w:tcPr>
          <w:p w:rsidR="000A2AD2" w:rsidRDefault="0014246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ТТ</w:t>
            </w:r>
          </w:p>
        </w:tc>
        <w:tc>
          <w:tcPr>
            <w:tcW w:w="7998" w:type="dxa"/>
            <w:shd w:val="clear" w:color="auto" w:fill="auto"/>
          </w:tcPr>
          <w:p w:rsidR="000A2AD2" w:rsidRDefault="0014246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Техниче</w:t>
            </w:r>
            <w:r>
              <w:rPr>
                <w:i/>
                <w:sz w:val="24"/>
                <w:szCs w:val="24"/>
              </w:rPr>
              <w:t>ские требования</w:t>
            </w:r>
          </w:p>
        </w:tc>
      </w:tr>
      <w:tr w:rsidR="000A2AD2">
        <w:trPr>
          <w:cantSplit/>
          <w:jc w:val="center"/>
        </w:trPr>
        <w:tc>
          <w:tcPr>
            <w:tcW w:w="1785" w:type="dxa"/>
            <w:shd w:val="clear" w:color="auto" w:fill="auto"/>
          </w:tcPr>
          <w:p w:rsidR="000A2AD2" w:rsidRDefault="0014246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ПАЭС</w:t>
            </w:r>
          </w:p>
        </w:tc>
        <w:tc>
          <w:tcPr>
            <w:tcW w:w="7998" w:type="dxa"/>
            <w:shd w:val="clear" w:color="auto" w:fill="auto"/>
          </w:tcPr>
          <w:p w:rsidR="000A2AD2" w:rsidRDefault="0014246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Передвижная автоматизированная газотурбинная электростанция</w:t>
            </w:r>
          </w:p>
        </w:tc>
      </w:tr>
      <w:tr w:rsidR="000A2AD2">
        <w:trPr>
          <w:cantSplit/>
          <w:jc w:val="center"/>
        </w:trPr>
        <w:tc>
          <w:tcPr>
            <w:tcW w:w="1785" w:type="dxa"/>
            <w:shd w:val="clear" w:color="auto" w:fill="auto"/>
          </w:tcPr>
          <w:p w:rsidR="000A2AD2" w:rsidRDefault="0014246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МДЭС</w:t>
            </w:r>
          </w:p>
        </w:tc>
        <w:tc>
          <w:tcPr>
            <w:tcW w:w="7998" w:type="dxa"/>
            <w:shd w:val="clear" w:color="auto" w:fill="auto"/>
          </w:tcPr>
          <w:p w:rsidR="000A2AD2" w:rsidRDefault="0014246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Модульная дизельная электростанция</w:t>
            </w:r>
          </w:p>
        </w:tc>
      </w:tr>
    </w:tbl>
    <w:p w:rsidR="000A2AD2" w:rsidRDefault="000A2AD2">
      <w:pPr>
        <w:keepNext/>
        <w:keepLines/>
        <w:jc w:val="both"/>
        <w:rPr>
          <w:sz w:val="24"/>
          <w:szCs w:val="24"/>
        </w:rPr>
      </w:pPr>
    </w:p>
    <w:p w:rsidR="000A2AD2" w:rsidRDefault="0014246E">
      <w:pPr>
        <w:pStyle w:val="4"/>
        <w:rPr>
          <w:i/>
          <w:shd w:val="clear" w:color="auto" w:fill="FFFF99"/>
        </w:rPr>
      </w:pPr>
      <w:bookmarkStart w:id="4" w:name="_Toc143591228"/>
      <w:r>
        <w:t>Наименование объекта, место выполнения работ</w:t>
      </w:r>
      <w:bookmarkEnd w:id="4"/>
    </w:p>
    <w:p w:rsidR="000A2AD2" w:rsidRDefault="0014246E">
      <w:pPr>
        <w:ind w:firstLine="709"/>
        <w:jc w:val="both"/>
        <w:rPr>
          <w:bCs/>
          <w:i/>
          <w:sz w:val="24"/>
          <w:szCs w:val="24"/>
          <w:shd w:val="clear" w:color="auto" w:fill="FFFF99"/>
        </w:rPr>
      </w:pPr>
      <w:r>
        <w:rPr>
          <w:sz w:val="24"/>
          <w:szCs w:val="24"/>
        </w:rPr>
        <w:t>«Сервисное обслуживание ПАЭС-2500 МДЭС п. Депутатский»</w:t>
      </w:r>
      <w:r>
        <w:rPr>
          <w:sz w:val="24"/>
          <w:szCs w:val="24"/>
        </w:rPr>
        <w:br/>
      </w:r>
      <w:bookmarkStart w:id="5" w:name="_Toc50125126"/>
      <w:bookmarkStart w:id="6" w:name="_Toc46743510"/>
    </w:p>
    <w:p w:rsidR="000A2AD2" w:rsidRDefault="0014246E">
      <w:pPr>
        <w:pStyle w:val="1"/>
        <w:numPr>
          <w:ilvl w:val="0"/>
          <w:numId w:val="0"/>
        </w:numPr>
        <w:rPr>
          <w:sz w:val="24"/>
        </w:rPr>
      </w:pPr>
      <w:bookmarkStart w:id="7" w:name="_Toc51339695"/>
      <w:bookmarkStart w:id="8" w:name="_Toc143591229"/>
      <w:r>
        <w:rPr>
          <w:sz w:val="24"/>
        </w:rPr>
        <w:t xml:space="preserve">Таблица 1. Перечень </w:t>
      </w:r>
      <w:bookmarkEnd w:id="7"/>
      <w:r>
        <w:rPr>
          <w:sz w:val="24"/>
        </w:rPr>
        <w:t>Объектов заказчика</w:t>
      </w:r>
      <w:bookmarkEnd w:id="8"/>
    </w:p>
    <w:p w:rsidR="000A2AD2" w:rsidRDefault="000A2AD2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2126"/>
        <w:gridCol w:w="2126"/>
        <w:gridCol w:w="1985"/>
      </w:tblGrid>
      <w:tr w:rsidR="000A2AD2">
        <w:tc>
          <w:tcPr>
            <w:tcW w:w="817" w:type="dxa"/>
          </w:tcPr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:rsidR="000A2AD2" w:rsidRDefault="00142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0A2AD2" w:rsidRDefault="000A2A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0A2AD2">
        <w:tc>
          <w:tcPr>
            <w:tcW w:w="817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A2AD2">
        <w:trPr>
          <w:trHeight w:val="881"/>
        </w:trPr>
        <w:tc>
          <w:tcPr>
            <w:tcW w:w="817" w:type="dxa"/>
          </w:tcPr>
          <w:p w:rsidR="000A2AD2" w:rsidRDefault="000A2AD2">
            <w:pPr>
              <w:pStyle w:val="aff3"/>
              <w:numPr>
                <w:ilvl w:val="0"/>
                <w:numId w:val="15"/>
              </w:numPr>
            </w:pPr>
          </w:p>
        </w:tc>
        <w:tc>
          <w:tcPr>
            <w:tcW w:w="2864" w:type="dxa"/>
            <w:shd w:val="clear" w:color="auto" w:fill="auto"/>
          </w:tcPr>
          <w:p w:rsidR="000A2AD2" w:rsidRDefault="0014246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МДЭС п. Депутатский</w:t>
            </w:r>
          </w:p>
        </w:tc>
        <w:tc>
          <w:tcPr>
            <w:tcW w:w="2126" w:type="dxa"/>
            <w:shd w:val="clear" w:color="auto" w:fill="auto"/>
          </w:tcPr>
          <w:p w:rsidR="000A2AD2" w:rsidRDefault="0014246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Республика Саха (Якутия) п. Депутатский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ПАЭС-2500</w:t>
            </w:r>
          </w:p>
        </w:tc>
        <w:tc>
          <w:tcPr>
            <w:tcW w:w="1985" w:type="dxa"/>
            <w:shd w:val="clear" w:color="auto" w:fill="auto"/>
          </w:tcPr>
          <w:p w:rsidR="000A2AD2" w:rsidRDefault="000A2AD2">
            <w:pPr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0A2AD2" w:rsidRDefault="000A2AD2"/>
    <w:p w:rsidR="000A2AD2" w:rsidRDefault="0014246E">
      <w:pPr>
        <w:pStyle w:val="1"/>
        <w:keepLines/>
        <w:spacing w:before="120"/>
        <w:ind w:left="357" w:hanging="357"/>
        <w:jc w:val="center"/>
        <w:rPr>
          <w:iCs/>
          <w:caps/>
        </w:rPr>
      </w:pPr>
      <w:bookmarkStart w:id="9" w:name="_Toc54643702"/>
      <w:bookmarkStart w:id="10" w:name="_Toc143591230"/>
      <w:r>
        <w:rPr>
          <w:iCs/>
        </w:rPr>
        <w:t>Требования</w:t>
      </w:r>
      <w:r>
        <w:rPr>
          <w:iCs/>
        </w:rPr>
        <w:t xml:space="preserve"> к продукции</w:t>
      </w:r>
      <w:bookmarkEnd w:id="9"/>
      <w:bookmarkEnd w:id="10"/>
    </w:p>
    <w:p w:rsidR="000A2AD2" w:rsidRDefault="0014246E">
      <w:pPr>
        <w:pStyle w:val="4"/>
        <w:spacing w:before="120"/>
      </w:pPr>
      <w:bookmarkStart w:id="11" w:name="_Toc54643703"/>
      <w:bookmarkStart w:id="12" w:name="_Toc143591231"/>
      <w:r>
        <w:t xml:space="preserve">Требования к объемам и срокам </w:t>
      </w:r>
      <w:r>
        <w:t>оказания услуг</w:t>
      </w:r>
      <w:bookmarkEnd w:id="11"/>
      <w:bookmarkEnd w:id="12"/>
    </w:p>
    <w:p w:rsidR="000A2AD2" w:rsidRDefault="0014246E">
      <w:pPr>
        <w:pStyle w:val="3"/>
        <w:spacing w:before="120"/>
        <w:ind w:left="1224" w:hanging="504"/>
      </w:pPr>
      <w:bookmarkStart w:id="13" w:name="_Toc54643704"/>
      <w:bookmarkStart w:id="14" w:name="_Toc143591232"/>
      <w:r>
        <w:t>Требования к перечню и объему услуг</w:t>
      </w:r>
      <w:bookmarkEnd w:id="13"/>
      <w:bookmarkEnd w:id="14"/>
    </w:p>
    <w:p w:rsidR="000A2AD2" w:rsidRDefault="0014246E">
      <w:pPr>
        <w:pStyle w:val="1"/>
        <w:keepLines/>
        <w:numPr>
          <w:ilvl w:val="0"/>
          <w:numId w:val="0"/>
        </w:numPr>
        <w:rPr>
          <w:sz w:val="24"/>
          <w:szCs w:val="24"/>
        </w:rPr>
      </w:pPr>
      <w:bookmarkStart w:id="15" w:name="_Toc54643705"/>
      <w:bookmarkStart w:id="16" w:name="_Toc143591233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Перечень и объем оказываемых услуг</w:t>
      </w:r>
      <w:bookmarkEnd w:id="15"/>
      <w:bookmarkEnd w:id="16"/>
    </w:p>
    <w:tbl>
      <w:tblPr>
        <w:tblpPr w:leftFromText="180" w:rightFromText="180" w:vertAnchor="text" w:tblpY="1"/>
        <w:tblOverlap w:val="never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0A2AD2">
        <w:tc>
          <w:tcPr>
            <w:tcW w:w="850" w:type="dxa"/>
            <w:vAlign w:val="center"/>
          </w:tcPr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5" w:type="dxa"/>
            <w:vAlign w:val="center"/>
          </w:tcPr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A2AD2">
        <w:tc>
          <w:tcPr>
            <w:tcW w:w="9810" w:type="dxa"/>
            <w:gridSpan w:val="4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 1: МДЭС п. Депутатский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Комплексная оценка технического состояния оборудования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Диагностика двигателя АИ-20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расходных материалов  (масло СМ-4,5, электрощетки (ЭГ-71, ЭГ-4, МГС-7), фильтры(РПГ,КТА), фильтроэлементы</w:t>
            </w:r>
            <w:r>
              <w:rPr>
                <w:sz w:val="22"/>
                <w:szCs w:val="22"/>
              </w:rPr>
              <w:t xml:space="preserve"> МФ-20, свечи СПН)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Центровка двигателя АИ-20 с генератором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Проверка, наладка технологических защит  ПАЭС-2500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Проверка рабочих параметров на соответствие согласно инструкции по эксплуатации ПАЭС-2500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выявленных неисправностей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Комплексное тестирование ПАЭС-2500 под нагрузкой на всех режимах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A2AD2">
        <w:tc>
          <w:tcPr>
            <w:tcW w:w="850" w:type="dxa"/>
          </w:tcPr>
          <w:p w:rsidR="000A2AD2" w:rsidRDefault="000A2AD2">
            <w:pPr>
              <w:pStyle w:val="aff3"/>
              <w:numPr>
                <w:ilvl w:val="0"/>
                <w:numId w:val="16"/>
              </w:numPr>
            </w:pP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Выдача актов технического состояния, рекомендаций, заключения на каждую ПАЭС-2500 в бумажном виде в 2 (двух) экземплярах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0A2AD2" w:rsidRDefault="000A2AD2"/>
    <w:p w:rsidR="000A2AD2" w:rsidRDefault="000A2AD2"/>
    <w:p w:rsidR="000A2AD2" w:rsidRDefault="0014246E">
      <w:pPr>
        <w:pStyle w:val="3"/>
      </w:pPr>
      <w:bookmarkStart w:id="17" w:name="_Toc51339696"/>
      <w:bookmarkStart w:id="18" w:name="_Toc75446578"/>
      <w:bookmarkStart w:id="19" w:name="_Toc143591234"/>
      <w:r>
        <w:t xml:space="preserve">Требования </w:t>
      </w:r>
      <w:bookmarkEnd w:id="17"/>
      <w:r>
        <w:t>к срокам выполнения работ и оказания сопутствующих услуг</w:t>
      </w:r>
      <w:bookmarkEnd w:id="18"/>
      <w:bookmarkEnd w:id="19"/>
    </w:p>
    <w:p w:rsidR="000A2AD2" w:rsidRDefault="0014246E">
      <w:pPr>
        <w:pStyle w:val="1"/>
        <w:numPr>
          <w:ilvl w:val="0"/>
          <w:numId w:val="0"/>
        </w:numPr>
        <w:rPr>
          <w:sz w:val="24"/>
        </w:rPr>
      </w:pPr>
      <w:bookmarkStart w:id="20" w:name="_Toc50125127"/>
      <w:bookmarkStart w:id="21" w:name="_Toc51339697"/>
      <w:bookmarkStart w:id="22" w:name="_Toc143591235"/>
      <w:r>
        <w:rPr>
          <w:sz w:val="24"/>
        </w:rPr>
        <w:t xml:space="preserve">Таблица </w:t>
      </w:r>
      <w:r>
        <w:rPr>
          <w:sz w:val="24"/>
        </w:rPr>
        <w:t>2.</w:t>
      </w:r>
      <w:r>
        <w:rPr>
          <w:sz w:val="24"/>
        </w:rPr>
        <w:t xml:space="preserve"> </w:t>
      </w:r>
      <w:bookmarkStart w:id="23" w:name="_Hlk50465284"/>
      <w:r>
        <w:rPr>
          <w:sz w:val="24"/>
        </w:rPr>
        <w:t xml:space="preserve">Требования по срокам </w:t>
      </w:r>
      <w:bookmarkEnd w:id="20"/>
      <w:bookmarkEnd w:id="21"/>
      <w:bookmarkEnd w:id="23"/>
      <w:r>
        <w:rPr>
          <w:sz w:val="24"/>
        </w:rPr>
        <w:t>выполнения работ</w:t>
      </w:r>
      <w:bookmarkEnd w:id="22"/>
      <w:r>
        <w:rPr>
          <w:sz w:val="24"/>
        </w:rPr>
        <w:t xml:space="preserve"> </w:t>
      </w:r>
    </w:p>
    <w:tbl>
      <w:tblPr>
        <w:tblpPr w:leftFromText="180" w:rightFromText="180" w:vertAnchor="text" w:tblpY="1"/>
        <w:tblOverlap w:val="never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0A2AD2">
        <w:tc>
          <w:tcPr>
            <w:tcW w:w="850" w:type="dxa"/>
            <w:vAlign w:val="center"/>
          </w:tcPr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:rsidR="000A2AD2" w:rsidRDefault="0014246E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126" w:type="dxa"/>
            <w:vAlign w:val="center"/>
          </w:tcPr>
          <w:p w:rsidR="000A2AD2" w:rsidRDefault="00142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</w:t>
            </w:r>
            <w:r>
              <w:rPr>
                <w:sz w:val="24"/>
                <w:szCs w:val="24"/>
              </w:rPr>
              <w:t>срока оказания услуг / этапа услуг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A2AD2">
        <w:tc>
          <w:tcPr>
            <w:tcW w:w="9810" w:type="dxa"/>
            <w:gridSpan w:val="4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 1: МДЭС п. Депутатский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1.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Комплексная оценка технического состояния оборудования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2.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Диагностика двигателя АИ-20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3.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расходных материалов  (масло СМ-4,5, электрощетки (ЭГ-71, ЭГ-4, МГС-7), фильтры(РПГ,КТА), фильтроэлементы МФ-20, свечи СПН)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4.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Центровка двигателя АИ-20 с генератором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5.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Проверка, наладка технологических защит  ПАЭС-2500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6.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Проверка рабочих параметров на соответствие согласно инструкции по эксплуатации ПАЭС-2500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</w:t>
            </w:r>
            <w:r>
              <w:rPr>
                <w:sz w:val="22"/>
                <w:szCs w:val="22"/>
              </w:rPr>
              <w:t>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7.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выявленных неисправностей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8.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Комплексное тестирование ПАЭС-2500 под нагрузкой на всех режимах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заключения договора</w:t>
            </w:r>
          </w:p>
        </w:tc>
      </w:tr>
      <w:tr w:rsidR="000A2AD2">
        <w:tc>
          <w:tcPr>
            <w:tcW w:w="850" w:type="dxa"/>
          </w:tcPr>
          <w:p w:rsidR="000A2AD2" w:rsidRDefault="0014246E">
            <w:pPr>
              <w:pStyle w:val="aff3"/>
              <w:ind w:left="176"/>
              <w:jc w:val="both"/>
            </w:pPr>
            <w:r>
              <w:t>9.</w:t>
            </w:r>
          </w:p>
        </w:tc>
        <w:tc>
          <w:tcPr>
            <w:tcW w:w="4849" w:type="dxa"/>
          </w:tcPr>
          <w:p w:rsidR="000A2AD2" w:rsidRDefault="00142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Выдача актов технического состояния, рекомендаций, заключения на каждую ПАЭС-2500 в бумажном виде в 2 (двух) экземплярах</w:t>
            </w:r>
          </w:p>
        </w:tc>
        <w:tc>
          <w:tcPr>
            <w:tcW w:w="1985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2126" w:type="dxa"/>
          </w:tcPr>
          <w:p w:rsidR="000A2AD2" w:rsidRDefault="00142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30 каледарных дней с момента з</w:t>
            </w:r>
            <w:r>
              <w:rPr>
                <w:sz w:val="22"/>
                <w:szCs w:val="22"/>
              </w:rPr>
              <w:t>аключения договора</w:t>
            </w:r>
          </w:p>
        </w:tc>
      </w:tr>
      <w:bookmarkEnd w:id="5"/>
      <w:bookmarkEnd w:id="6"/>
    </w:tbl>
    <w:p w:rsidR="000A2AD2" w:rsidRDefault="000A2AD2">
      <w:pPr>
        <w:pStyle w:val="4"/>
        <w:numPr>
          <w:ilvl w:val="0"/>
          <w:numId w:val="0"/>
        </w:numPr>
        <w:spacing w:before="120"/>
        <w:ind w:left="432" w:hanging="432"/>
      </w:pPr>
    </w:p>
    <w:p w:rsidR="000A2AD2" w:rsidRDefault="000A2AD2">
      <w:pPr>
        <w:pStyle w:val="3"/>
        <w:numPr>
          <w:ilvl w:val="0"/>
          <w:numId w:val="0"/>
        </w:numPr>
        <w:ind w:left="720"/>
      </w:pPr>
    </w:p>
    <w:p w:rsidR="000A2AD2" w:rsidRDefault="000A2AD2"/>
    <w:p w:rsidR="000A2AD2" w:rsidRDefault="000A2AD2"/>
    <w:p w:rsidR="000A2AD2" w:rsidRDefault="000A2AD2">
      <w:pPr>
        <w:sectPr w:rsidR="000A2AD2">
          <w:headerReference w:type="even" r:id="rId7"/>
          <w:headerReference w:type="default" r:id="rId8"/>
          <w:headerReference w:type="first" r:id="rId9"/>
          <w:pgSz w:w="11906" w:h="16838"/>
          <w:pgMar w:top="1134" w:right="709" w:bottom="992" w:left="1134" w:header="680" w:footer="737" w:gutter="0"/>
          <w:cols w:space="708"/>
          <w:titlePg/>
        </w:sectPr>
      </w:pPr>
    </w:p>
    <w:p w:rsidR="000A2AD2" w:rsidRDefault="0014246E">
      <w:pPr>
        <w:pStyle w:val="4"/>
      </w:pPr>
      <w:bookmarkStart w:id="24" w:name="_Toc143591236"/>
      <w:r>
        <w:t>Таблица </w:t>
      </w:r>
      <w:r>
        <w:t>4</w:t>
      </w:r>
      <w:r>
        <w:t xml:space="preserve">. Требования к </w:t>
      </w:r>
      <w:r>
        <w:t>качеству услуг</w:t>
      </w:r>
      <w:bookmarkEnd w:id="24"/>
      <w:r>
        <w:t xml:space="preserve"> </w:t>
      </w:r>
    </w:p>
    <w:p w:rsidR="000A2AD2" w:rsidRDefault="000A2AD2">
      <w:pPr>
        <w:rPr>
          <w:rStyle w:val="aff7"/>
          <w:b w:val="0"/>
        </w:rPr>
      </w:pPr>
    </w:p>
    <w:p w:rsidR="000A2AD2" w:rsidRDefault="0014246E">
      <w:pPr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услуг/этапа:  </w:t>
      </w:r>
      <w:r>
        <w:rPr>
          <w:sz w:val="24"/>
          <w:szCs w:val="24"/>
        </w:rPr>
        <w:t xml:space="preserve">Сервисное обслуживание ПАЭС-2500 </w:t>
      </w:r>
      <w:r>
        <w:rPr>
          <w:sz w:val="24"/>
          <w:szCs w:val="24"/>
        </w:rPr>
        <w:t>МДЭС п. Депутатский</w:t>
      </w:r>
    </w:p>
    <w:tbl>
      <w:tblPr>
        <w:tblStyle w:val="aff0"/>
        <w:tblW w:w="14885" w:type="dxa"/>
        <w:tblInd w:w="-5" w:type="dxa"/>
        <w:tblLook w:val="04A0" w:firstRow="1" w:lastRow="0" w:firstColumn="1" w:lastColumn="0" w:noHBand="0" w:noVBand="1"/>
      </w:tblPr>
      <w:tblGrid>
        <w:gridCol w:w="851"/>
        <w:gridCol w:w="2268"/>
        <w:gridCol w:w="3402"/>
        <w:gridCol w:w="2693"/>
        <w:gridCol w:w="2926"/>
        <w:gridCol w:w="2745"/>
      </w:tblGrid>
      <w:tr w:rsidR="000A2AD2">
        <w:tc>
          <w:tcPr>
            <w:tcW w:w="851" w:type="dxa"/>
            <w:vMerge w:val="restart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vMerge w:val="restart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45" w:type="dxa"/>
            <w:vMerge w:val="restart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0A2AD2">
        <w:tc>
          <w:tcPr>
            <w:tcW w:w="851" w:type="dxa"/>
            <w:vMerge/>
            <w:vAlign w:val="center"/>
          </w:tcPr>
          <w:p w:rsidR="000A2AD2" w:rsidRDefault="000A2A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A2AD2" w:rsidRDefault="000A2A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0A2AD2" w:rsidRDefault="000A2A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26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5" w:type="dxa"/>
            <w:vMerge/>
            <w:vAlign w:val="center"/>
          </w:tcPr>
          <w:p w:rsidR="000A2AD2" w:rsidRDefault="000A2A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25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25"/>
          </w:p>
        </w:tc>
        <w:tc>
          <w:tcPr>
            <w:tcW w:w="2268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26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5" w:type="dxa"/>
            <w:vAlign w:val="center"/>
          </w:tcPr>
          <w:p w:rsidR="000A2AD2" w:rsidRDefault="001424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0A2AD2" w:rsidRDefault="001424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693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0A2AD2" w:rsidRDefault="0014246E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693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Передвижная газотурбинная электростанция ПАЭС-2500</w:t>
            </w:r>
            <w:r>
              <w:rPr>
                <w:sz w:val="24"/>
                <w:szCs w:val="24"/>
              </w:rPr>
              <w:t xml:space="preserve">  МДЭС п. Депутатский, эксплуатируются на дизельном топливе.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:rsidR="000A2AD2" w:rsidRDefault="000A2AD2">
            <w:pPr>
              <w:pStyle w:val="aff5"/>
              <w:keepNext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745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диагностических (сервисных) работ будет выполняться на действующей дизельной  электростанции п.Депутатский Усть-Янского района.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Необходимое диагностическое оборудование и специальный инструмент для проведения сервисного обслуживания предоставляются Подрядчиком.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состав бригады – не менее двух человек.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Командировочный расходы (дорога, проживание, питание) входит в стоимость Договора.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оплате работ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  <w:shd w:val="clear" w:color="auto" w:fill="auto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  <w:shd w:val="clear" w:color="auto" w:fill="auto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выполненных работ по условиям договора.</w:t>
            </w:r>
          </w:p>
        </w:tc>
        <w:tc>
          <w:tcPr>
            <w:tcW w:w="2693" w:type="dxa"/>
            <w:shd w:val="clear" w:color="auto" w:fill="auto"/>
          </w:tcPr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0A2AD2" w:rsidRDefault="000A2AD2">
            <w:pPr>
              <w:rPr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0A2AD2" w:rsidRDefault="0014246E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Требование к персоналу подрядной организации</w:t>
            </w:r>
          </w:p>
        </w:tc>
        <w:tc>
          <w:tcPr>
            <w:tcW w:w="2693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</w:tcPr>
          <w:p w:rsidR="000A2AD2" w:rsidRDefault="0014246E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Квалификационный и количественный состав бригады должен соответствовать объему и сложности выполняемых работ.</w:t>
            </w:r>
          </w:p>
          <w:p w:rsidR="000A2AD2" w:rsidRDefault="001424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началом выполнения работ необходимо документальное подтверждение квалификации командируемого персонала.</w:t>
            </w:r>
          </w:p>
          <w:p w:rsidR="000A2AD2" w:rsidRDefault="001424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должен соблюдать и соответствовать «Регламенту допуска подрядных и сторонних организаций, индивидуальных предпринимателей, командированно</w:t>
            </w:r>
            <w:r>
              <w:rPr>
                <w:sz w:val="24"/>
                <w:szCs w:val="24"/>
              </w:rPr>
              <w:t>го персонала для выполнения работ на объектах АО «Сахаэнерго» (ИСМ РГ-00-017.03-23) (Приложение 1) (далее-Регламент).</w:t>
            </w:r>
          </w:p>
          <w:p w:rsidR="000A2AD2" w:rsidRDefault="0014246E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Подрядная организация должна направить в адрес АО «Сахаэнерго» сопроводительное письмо согласно пункта 5 Регламента за 14 дней до начала в</w:t>
            </w:r>
            <w:r>
              <w:rPr>
                <w:sz w:val="24"/>
                <w:szCs w:val="24"/>
              </w:rPr>
              <w:t>ыполнения ремонтных работ.</w:t>
            </w:r>
          </w:p>
        </w:tc>
        <w:tc>
          <w:tcPr>
            <w:tcW w:w="2693" w:type="dxa"/>
          </w:tcPr>
          <w:p w:rsidR="000A2AD2" w:rsidRDefault="0014246E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</w:tcPr>
          <w:p w:rsidR="000A2AD2" w:rsidRDefault="000A2AD2">
            <w:pPr>
              <w:pStyle w:val="aff5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745" w:type="dxa"/>
          </w:tcPr>
          <w:p w:rsidR="000A2AD2" w:rsidRDefault="000A2AD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0A2AD2" w:rsidRDefault="0014246E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обеспечению техники безопасности при проведении работ</w:t>
            </w:r>
          </w:p>
        </w:tc>
        <w:tc>
          <w:tcPr>
            <w:tcW w:w="2693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</w:tcPr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диагностических (сервисных) р</w:t>
            </w:r>
            <w:r>
              <w:rPr>
                <w:sz w:val="24"/>
                <w:szCs w:val="24"/>
              </w:rPr>
              <w:t>абот персонал подрядной организации обязан соблюдать требования правил ТБ, ППБ и охраны окружающей среды, правила организации технического обслуживания и ремонта оборудования, зданий и сооружений электростанций и сетей СО 34.04.181-2003г. и требований НТД.</w:t>
            </w:r>
          </w:p>
          <w:p w:rsidR="000A2AD2" w:rsidRDefault="00142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обеспечивает персонал спецодеждой и средствами индивидуальной защиты, согласно требований ТБ и установленных норм и правил.</w:t>
            </w:r>
          </w:p>
        </w:tc>
        <w:tc>
          <w:tcPr>
            <w:tcW w:w="2693" w:type="dxa"/>
          </w:tcPr>
          <w:p w:rsidR="000A2AD2" w:rsidRDefault="0014246E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</w:tcPr>
          <w:p w:rsidR="000A2AD2" w:rsidRDefault="0014246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</w:tcPr>
          <w:p w:rsidR="000A2AD2" w:rsidRDefault="000A2AD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</w:tcPr>
          <w:p w:rsidR="000A2AD2" w:rsidRDefault="0014246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выполнению работ.</w:t>
            </w:r>
          </w:p>
        </w:tc>
        <w:tc>
          <w:tcPr>
            <w:tcW w:w="2693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:rsidR="000A2AD2" w:rsidRDefault="0014246E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0A2AD2">
        <w:tc>
          <w:tcPr>
            <w:tcW w:w="851" w:type="dxa"/>
            <w:vAlign w:val="center"/>
          </w:tcPr>
          <w:p w:rsidR="000A2AD2" w:rsidRDefault="000A2AD2">
            <w:pPr>
              <w:pStyle w:val="aff3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</w:tcPr>
          <w:p w:rsidR="000A2AD2" w:rsidRDefault="0014246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Выдерживание графика производства работ и обеспечение выполнения полного комплекса диагностических работ.</w:t>
            </w:r>
          </w:p>
          <w:p w:rsidR="000A2AD2" w:rsidRDefault="0014246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выполнения комплекса диагностических работ заполняются технические документы диагностики (осмотра) ПАЭС-2500, в котором описываются основные неи</w:t>
            </w:r>
            <w:r>
              <w:rPr>
                <w:sz w:val="24"/>
                <w:szCs w:val="24"/>
              </w:rPr>
              <w:t>справности и рекомендации к их устранению, либо комплекс профилактических мероприятий для минимизации наступления поломки. В перечень технических документов входит дефектовочная ведомость, экспертное заключение, акты технического состояния, акты выполненны</w:t>
            </w:r>
            <w:r>
              <w:rPr>
                <w:sz w:val="24"/>
                <w:szCs w:val="24"/>
              </w:rPr>
              <w:t>х работ, перечень рекомендуемых ремонтных работ, список необходимых запасных частей и подробные отчёты о работе оборудования.</w:t>
            </w:r>
          </w:p>
        </w:tc>
        <w:tc>
          <w:tcPr>
            <w:tcW w:w="2693" w:type="dxa"/>
          </w:tcPr>
          <w:p w:rsidR="000A2AD2" w:rsidRDefault="0014246E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</w:tcPr>
          <w:p w:rsidR="000A2AD2" w:rsidRDefault="000A2AD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:rsidR="000A2AD2" w:rsidRDefault="000A2AD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</w:tbl>
    <w:p w:rsidR="000A2AD2" w:rsidRDefault="000A2AD2">
      <w:pPr>
        <w:rPr>
          <w:sz w:val="24"/>
          <w:szCs w:val="24"/>
        </w:rPr>
      </w:pPr>
    </w:p>
    <w:p w:rsidR="000A2AD2" w:rsidRDefault="000A2AD2">
      <w:pPr>
        <w:rPr>
          <w:sz w:val="24"/>
          <w:szCs w:val="24"/>
        </w:rPr>
      </w:pPr>
    </w:p>
    <w:p w:rsidR="000A2AD2" w:rsidRDefault="000A2AD2">
      <w:pPr>
        <w:spacing w:after="120"/>
        <w:rPr>
          <w:b/>
          <w:sz w:val="24"/>
          <w:szCs w:val="24"/>
        </w:rPr>
        <w:sectPr w:rsidR="000A2AD2">
          <w:pgSz w:w="16838" w:h="11906" w:orient="landscape"/>
          <w:pgMar w:top="1134" w:right="1134" w:bottom="709" w:left="992" w:header="680" w:footer="737" w:gutter="0"/>
          <w:cols w:space="708"/>
          <w:titlePg/>
        </w:sectPr>
      </w:pPr>
      <w:bookmarkStart w:id="26" w:name="_GoBack"/>
      <w:bookmarkEnd w:id="26"/>
    </w:p>
    <w:p w:rsidR="000A2AD2" w:rsidRPr="0014246E" w:rsidRDefault="000A2AD2" w:rsidP="0014246E"/>
    <w:sectPr w:rsidR="000A2AD2" w:rsidRPr="0014246E">
      <w:pgSz w:w="11906" w:h="16838"/>
      <w:pgMar w:top="1134" w:right="709" w:bottom="992" w:left="1134" w:header="680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AD2" w:rsidRDefault="0014246E">
      <w:r>
        <w:separator/>
      </w:r>
    </w:p>
  </w:endnote>
  <w:endnote w:type="continuationSeparator" w:id="0">
    <w:p w:rsidR="000A2AD2" w:rsidRDefault="0014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AD2" w:rsidRDefault="0014246E">
      <w:r>
        <w:separator/>
      </w:r>
    </w:p>
  </w:footnote>
  <w:footnote w:type="continuationSeparator" w:id="0">
    <w:p w:rsidR="000A2AD2" w:rsidRDefault="00142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AD2" w:rsidRDefault="0014246E">
    <w:pPr>
      <w:pStyle w:val="afe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0A2AD2" w:rsidRDefault="000A2AD2">
    <w:pPr>
      <w:pStyle w:val="a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AD2" w:rsidRDefault="0014246E">
    <w:pPr>
      <w:pStyle w:val="af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AD2" w:rsidRDefault="000A2AD2">
    <w:pPr>
      <w:pStyle w:val="af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D1A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9769A4"/>
    <w:multiLevelType w:val="multilevel"/>
    <w:tmpl w:val="28D25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64807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126616E"/>
    <w:multiLevelType w:val="multilevel"/>
    <w:tmpl w:val="F248406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D447F5"/>
    <w:multiLevelType w:val="multilevel"/>
    <w:tmpl w:val="82683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5">
    <w:nsid w:val="450A52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265AF4"/>
    <w:multiLevelType w:val="multilevel"/>
    <w:tmpl w:val="F67CA782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7"/>
      <w:numFmt w:val="decimal"/>
      <w:lvlText w:val="%1.%2."/>
      <w:lvlJc w:val="left"/>
      <w:pPr>
        <w:ind w:left="720" w:hanging="540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sz w:val="22"/>
      </w:rPr>
    </w:lvl>
  </w:abstractNum>
  <w:abstractNum w:abstractNumId="7">
    <w:nsid w:val="4F5F2729"/>
    <w:multiLevelType w:val="multilevel"/>
    <w:tmpl w:val="06FE7DB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3AE7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6B21FC5"/>
    <w:multiLevelType w:val="multilevel"/>
    <w:tmpl w:val="0C849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367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0409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D8380C"/>
    <w:multiLevelType w:val="multilevel"/>
    <w:tmpl w:val="A1F60676"/>
    <w:lvl w:ilvl="0">
      <w:start w:val="1"/>
      <w:numFmt w:val="decimal"/>
      <w:lvlText w:val="%1.1"/>
      <w:lvlJc w:val="left"/>
      <w:pPr>
        <w:ind w:left="7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B5544C"/>
    <w:multiLevelType w:val="multilevel"/>
    <w:tmpl w:val="52AE5CB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11"/>
  </w:num>
  <w:num w:numId="5">
    <w:abstractNumId w:val="10"/>
  </w:num>
  <w:num w:numId="6">
    <w:abstractNumId w:val="2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</w:num>
  <w:num w:numId="15">
    <w:abstractNumId w:val="5"/>
  </w:num>
  <w:num w:numId="16">
    <w:abstractNumId w:val="0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D2"/>
    <w:rsid w:val="000A2AD2"/>
    <w:rsid w:val="0014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54FE5-EE38-4124-98C1-DAB612E6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"/>
    <w:next w:val="a1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next w:val="a1"/>
    <w:link w:val="20"/>
    <w:qFormat/>
    <w:pPr>
      <w:outlineLvl w:val="1"/>
    </w:p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1"/>
      </w:numPr>
      <w:spacing w:before="240" w:after="60"/>
      <w:ind w:left="1225" w:hanging="505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1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pPr>
      <w:numPr>
        <w:ilvl w:val="1"/>
      </w:numPr>
    </w:pPr>
    <w:rPr>
      <w:color w:val="595959" w:themeColor="text1" w:themeTint="A6"/>
      <w:spacing w:val="15"/>
    </w:rPr>
  </w:style>
  <w:style w:type="character" w:customStyle="1" w:styleId="a8">
    <w:name w:val="Подзаголовок Знак"/>
    <w:basedOn w:val="a2"/>
    <w:link w:val="a7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1"/>
    <w:next w:val="a1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2"/>
    <w:link w:val="22"/>
    <w:uiPriority w:val="29"/>
    <w:rPr>
      <w:i/>
      <w:iCs/>
      <w:color w:val="404040" w:themeColor="text1" w:themeTint="BF"/>
    </w:rPr>
  </w:style>
  <w:style w:type="character" w:styleId="a9">
    <w:name w:val="Intense Emphasis"/>
    <w:basedOn w:val="a2"/>
    <w:uiPriority w:val="21"/>
    <w:qFormat/>
    <w:rPr>
      <w:i/>
      <w:iCs/>
      <w:color w:val="365F91" w:themeColor="accent1" w:themeShade="BF"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2"/>
    <w:link w:val="aa"/>
    <w:uiPriority w:val="30"/>
    <w:rPr>
      <w:i/>
      <w:iCs/>
      <w:color w:val="365F91" w:themeColor="accent1" w:themeShade="BF"/>
    </w:rPr>
  </w:style>
  <w:style w:type="character" w:styleId="ac">
    <w:name w:val="Intense Reference"/>
    <w:basedOn w:val="a2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d">
    <w:name w:val="No Spacing"/>
    <w:basedOn w:val="a1"/>
    <w:uiPriority w:val="1"/>
    <w:qFormat/>
  </w:style>
  <w:style w:type="character" w:styleId="ae">
    <w:name w:val="Subtle Emphasis"/>
    <w:basedOn w:val="a2"/>
    <w:uiPriority w:val="19"/>
    <w:qFormat/>
    <w:rPr>
      <w:i/>
      <w:iCs/>
      <w:color w:val="404040" w:themeColor="text1" w:themeTint="BF"/>
    </w:rPr>
  </w:style>
  <w:style w:type="character" w:styleId="af">
    <w:name w:val="Strong"/>
    <w:basedOn w:val="a2"/>
    <w:uiPriority w:val="22"/>
    <w:qFormat/>
    <w:rPr>
      <w:b/>
      <w:bCs/>
    </w:rPr>
  </w:style>
  <w:style w:type="character" w:styleId="af0">
    <w:name w:val="Subtle Reference"/>
    <w:basedOn w:val="a2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2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2"/>
    <w:uiPriority w:val="99"/>
  </w:style>
  <w:style w:type="paragraph" w:styleId="af2">
    <w:name w:val="footer"/>
    <w:basedOn w:val="a1"/>
    <w:link w:val="af3"/>
    <w:uiPriority w:val="99"/>
    <w:unhideWhenUsed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2"/>
    <w:link w:val="af2"/>
    <w:uiPriority w:val="99"/>
  </w:style>
  <w:style w:type="paragraph" w:styleId="af4">
    <w:name w:val="caption"/>
    <w:basedOn w:val="a1"/>
    <w:next w:val="a1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a2"/>
    <w:uiPriority w:val="99"/>
    <w:semiHidden/>
    <w:rPr>
      <w:sz w:val="20"/>
      <w:szCs w:val="20"/>
    </w:rPr>
  </w:style>
  <w:style w:type="paragraph" w:styleId="af5">
    <w:name w:val="endnote text"/>
    <w:basedOn w:val="a1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концевой сноски Знак"/>
    <w:basedOn w:val="a2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2"/>
    <w:uiPriority w:val="99"/>
    <w:semiHidden/>
    <w:unhideWhenUsed/>
    <w:rPr>
      <w:vertAlign w:val="superscript"/>
    </w:rPr>
  </w:style>
  <w:style w:type="character" w:styleId="af8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paragraph" w:styleId="af9">
    <w:name w:val="TOC Heading"/>
    <w:uiPriority w:val="39"/>
    <w:unhideWhenUsed/>
  </w:style>
  <w:style w:type="paragraph" w:styleId="afa">
    <w:name w:val="table of figures"/>
    <w:basedOn w:val="a1"/>
    <w:next w:val="a1"/>
    <w:uiPriority w:val="99"/>
    <w:unhideWhenUsed/>
  </w:style>
  <w:style w:type="character" w:customStyle="1" w:styleId="10">
    <w:name w:val="Заголовок 1 Знак"/>
    <w:basedOn w:val="a2"/>
    <w:link w:val="1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2"/>
    <w:link w:val="2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2"/>
    <w:link w:val="3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2"/>
    <w:link w:val="4"/>
    <w:rPr>
      <w:rFonts w:ascii="Times New Roman" w:eastAsia="Calibri" w:hAnsi="Times New Roman" w:cs="Times New Roman"/>
      <w:b/>
      <w:bCs/>
      <w:sz w:val="24"/>
      <w:szCs w:val="24"/>
    </w:rPr>
  </w:style>
  <w:style w:type="paragraph" w:styleId="afb">
    <w:name w:val="footnote text"/>
    <w:basedOn w:val="a1"/>
    <w:link w:val="afc"/>
    <w:uiPriority w:val="99"/>
    <w:rPr>
      <w:sz w:val="20"/>
      <w:szCs w:val="20"/>
    </w:rPr>
  </w:style>
  <w:style w:type="character" w:customStyle="1" w:styleId="afc">
    <w:name w:val="Текст сноски Знак"/>
    <w:basedOn w:val="a2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rPr>
      <w:vertAlign w:val="superscript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">
    <w:name w:val="Верхний колонтитул Знак"/>
    <w:basedOn w:val="a2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page number"/>
    <w:basedOn w:val="a2"/>
  </w:style>
  <w:style w:type="paragraph" w:styleId="12">
    <w:name w:val="toc 1"/>
    <w:basedOn w:val="a1"/>
    <w:next w:val="a1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2">
    <w:name w:val="toc 3"/>
    <w:basedOn w:val="a1"/>
    <w:next w:val="a1"/>
    <w:uiPriority w:val="39"/>
    <w:pPr>
      <w:tabs>
        <w:tab w:val="left" w:pos="1100"/>
        <w:tab w:val="right" w:leader="dot" w:pos="10053"/>
      </w:tabs>
      <w:ind w:left="567" w:hanging="287"/>
    </w:pPr>
    <w:rPr>
      <w:rFonts w:cstheme="minorHAnsi"/>
      <w:sz w:val="20"/>
      <w:szCs w:val="20"/>
    </w:rPr>
  </w:style>
  <w:style w:type="character" w:styleId="aff2">
    <w:name w:val="Hyperlink"/>
    <w:uiPriority w:val="99"/>
    <w:rPr>
      <w:color w:val="0000FF"/>
      <w:u w:val="single"/>
    </w:rPr>
  </w:style>
  <w:style w:type="paragraph" w:styleId="42">
    <w:name w:val="toc 4"/>
    <w:basedOn w:val="a1"/>
    <w:next w:val="a1"/>
    <w:uiPriority w:val="39"/>
    <w:pPr>
      <w:ind w:left="560"/>
    </w:pPr>
    <w:rPr>
      <w:rFonts w:cstheme="minorHAnsi"/>
      <w:sz w:val="20"/>
      <w:szCs w:val="20"/>
    </w:rPr>
  </w:style>
  <w:style w:type="paragraph" w:styleId="aff3">
    <w:name w:val="List Paragraph"/>
    <w:basedOn w:val="a1"/>
    <w:link w:val="aff4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customStyle="1" w:styleId="aff5">
    <w:name w:val="Таблица"/>
    <w:basedOn w:val="a1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6">
    <w:name w:val="Таблица шапка"/>
    <w:basedOn w:val="a1"/>
    <w:pPr>
      <w:keepNext/>
      <w:spacing w:before="40" w:after="40"/>
      <w:ind w:left="57" w:right="57"/>
    </w:pPr>
    <w:rPr>
      <w:sz w:val="22"/>
      <w:szCs w:val="26"/>
    </w:rPr>
  </w:style>
  <w:style w:type="character" w:customStyle="1" w:styleId="aff4">
    <w:name w:val="Абзац списка Знак"/>
    <w:link w:val="aff3"/>
    <w:uiPriority w:val="3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a">
    <w:name w:val="Раздел положения"/>
    <w:basedOn w:val="a1"/>
    <w:pPr>
      <w:numPr>
        <w:numId w:val="7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pPr>
      <w:numPr>
        <w:ilvl w:val="1"/>
        <w:numId w:val="7"/>
      </w:numPr>
      <w:spacing w:before="80" w:after="80"/>
      <w:jc w:val="both"/>
    </w:pPr>
  </w:style>
  <w:style w:type="paragraph" w:styleId="aff8">
    <w:name w:val="Balloon Text"/>
    <w:basedOn w:val="a1"/>
    <w:link w:val="af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a">
    <w:name w:val="Emphasis"/>
    <w:basedOn w:val="a2"/>
    <w:uiPriority w:val="20"/>
    <w:qFormat/>
    <w:rPr>
      <w:i/>
      <w:iCs/>
    </w:rPr>
  </w:style>
  <w:style w:type="character" w:styleId="affb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c">
    <w:name w:val="annotation text"/>
    <w:basedOn w:val="a1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1224</Words>
  <Characters>6980</Characters>
  <Application>Microsoft Office Word</Application>
  <DocSecurity>0</DocSecurity>
  <Lines>58</Lines>
  <Paragraphs>16</Paragraphs>
  <ScaleCrop>false</ScaleCrop>
  <Company/>
  <LinksUpToDate>false</LinksUpToDate>
  <CharactersWithSpaces>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Таллаева Акулина Николаевна</dc:creator>
  <cp:lastModifiedBy>Васильева Василика Владимировна</cp:lastModifiedBy>
  <cp:revision>8</cp:revision>
  <dcterms:created xsi:type="dcterms:W3CDTF">2023-08-22T08:54:00Z</dcterms:created>
  <dcterms:modified xsi:type="dcterms:W3CDTF">2026-05-18T00:38:00Z</dcterms:modified>
</cp:coreProperties>
</file>